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28" w:rsidRDefault="004C09A8" w:rsidP="004C09A8">
      <w:pPr>
        <w:pStyle w:val="Title"/>
        <w:rPr>
          <w:rFonts w:ascii="Times New Roman" w:hAnsi="Times New Roman"/>
          <w:color w:val="000000"/>
        </w:rPr>
      </w:pPr>
      <w:r w:rsidRPr="009C1428">
        <w:rPr>
          <w:rFonts w:ascii="Times New Roman" w:hAnsi="Times New Roman"/>
          <w:color w:val="000000"/>
        </w:rPr>
        <w:t xml:space="preserve">Wyoming Cooperative Fish and </w:t>
      </w:r>
    </w:p>
    <w:p w:rsidR="004C09A8" w:rsidRPr="009C1428" w:rsidRDefault="007851DA" w:rsidP="004C09A8">
      <w:pPr>
        <w:pStyle w:val="Title"/>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7728" behindDoc="0" locked="0" layoutInCell="0" allowOverlap="1" wp14:anchorId="568A19FE" wp14:editId="0B1408EE">
                <wp:simplePos x="0" y="0"/>
                <wp:positionH relativeFrom="column">
                  <wp:posOffset>410845</wp:posOffset>
                </wp:positionH>
                <wp:positionV relativeFrom="paragraph">
                  <wp:posOffset>6350</wp:posOffset>
                </wp:positionV>
                <wp:extent cx="51206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317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5pt" to="43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" o:allowincell="f" strokecolor="green" strokeweight="2.5pt"/>
            </w:pict>
          </mc:Fallback>
        </mc:AlternateContent>
      </w:r>
      <w:r w:rsidR="004C09A8" w:rsidRPr="009C1428">
        <w:rPr>
          <w:rFonts w:ascii="Times New Roman" w:hAnsi="Times New Roman"/>
          <w:color w:val="000000"/>
        </w:rPr>
        <w:t>Wildlife Research Unit</w:t>
      </w:r>
    </w:p>
    <w:p w:rsidR="004C09A8" w:rsidRDefault="009C1428" w:rsidP="004C09A8">
      <w:pPr>
        <w:jc w:val="center"/>
        <w:rPr>
          <w:color w:val="000000"/>
        </w:rPr>
      </w:pPr>
      <w:smartTag w:uri="urn:schemas-microsoft-com:office:smarttags" w:element="place">
        <w:smartTag w:uri="urn:schemas-microsoft-com:office:smarttags" w:element="PlaceName">
          <w:r>
            <w:rPr>
              <w:color w:val="000000"/>
            </w:rPr>
            <w:t>Biological</w:t>
          </w:r>
        </w:smartTag>
        <w:r>
          <w:rPr>
            <w:color w:val="000000"/>
          </w:rPr>
          <w:t xml:space="preserve"> </w:t>
        </w:r>
        <w:smartTag w:uri="urn:schemas-microsoft-com:office:smarttags" w:element="PlaceName">
          <w:r>
            <w:rPr>
              <w:color w:val="000000"/>
            </w:rPr>
            <w:t>Sciences</w:t>
          </w:r>
        </w:smartTag>
        <w:r>
          <w:rPr>
            <w:color w:val="000000"/>
          </w:rPr>
          <w:t xml:space="preserve"> </w:t>
        </w:r>
        <w:smartTag w:uri="urn:schemas-microsoft-com:office:smarttags" w:element="PlaceType">
          <w:r>
            <w:rPr>
              <w:color w:val="000000"/>
            </w:rPr>
            <w:t>Building</w:t>
          </w:r>
        </w:smartTag>
      </w:smartTag>
      <w:r>
        <w:rPr>
          <w:color w:val="000000"/>
        </w:rPr>
        <w:t>, Room 419</w:t>
      </w:r>
    </w:p>
    <w:p w:rsidR="009C1428" w:rsidRDefault="009C1428" w:rsidP="004C09A8">
      <w:pPr>
        <w:jc w:val="center"/>
        <w:rPr>
          <w:color w:val="000000"/>
        </w:rPr>
      </w:pPr>
      <w:smartTag w:uri="urn:schemas-microsoft-com:office:smarttags" w:element="Street">
        <w:r>
          <w:rPr>
            <w:color w:val="000000"/>
          </w:rPr>
          <w:t>Dept.</w:t>
        </w:r>
      </w:smartTag>
      <w:r>
        <w:rPr>
          <w:color w:val="000000"/>
        </w:rPr>
        <w:t xml:space="preserve"> 3166</w:t>
      </w:r>
      <w:r w:rsidR="00B763E4">
        <w:rPr>
          <w:color w:val="000000"/>
        </w:rPr>
        <w:t>,</w:t>
      </w:r>
      <w:r>
        <w:rPr>
          <w:color w:val="000000"/>
        </w:rPr>
        <w:t xml:space="preserve"> 1000 E. University Avenue</w:t>
      </w:r>
    </w:p>
    <w:p w:rsidR="009C1428" w:rsidRDefault="009C1428" w:rsidP="004C09A8">
      <w:pPr>
        <w:jc w:val="center"/>
        <w:rPr>
          <w:color w:val="000000"/>
        </w:rPr>
      </w:pPr>
      <w:smartTag w:uri="urn:schemas-microsoft-com:office:smarttags" w:element="place">
        <w:smartTag w:uri="urn:schemas-microsoft-com:office:smarttags" w:element="City">
          <w:r>
            <w:rPr>
              <w:color w:val="000000"/>
            </w:rPr>
            <w:t>Laramie</w:t>
          </w:r>
        </w:smartTag>
        <w:r>
          <w:rPr>
            <w:color w:val="000000"/>
          </w:rPr>
          <w:t xml:space="preserve">, </w:t>
        </w:r>
        <w:smartTag w:uri="urn:schemas-microsoft-com:office:smarttags" w:element="State">
          <w:r>
            <w:rPr>
              <w:color w:val="000000"/>
            </w:rPr>
            <w:t>WY</w:t>
          </w:r>
        </w:smartTag>
        <w:r>
          <w:rPr>
            <w:color w:val="000000"/>
          </w:rPr>
          <w:t xml:space="preserve">  </w:t>
        </w:r>
        <w:smartTag w:uri="urn:schemas-microsoft-com:office:smarttags" w:element="PostalCode">
          <w:r>
            <w:rPr>
              <w:color w:val="000000"/>
            </w:rPr>
            <w:t>82071</w:t>
          </w:r>
        </w:smartTag>
      </w:smartTag>
    </w:p>
    <w:p w:rsidR="0064557A" w:rsidRDefault="0064557A" w:rsidP="004C09A8">
      <w:pPr>
        <w:jc w:val="center"/>
        <w:rPr>
          <w:color w:val="000000"/>
        </w:rPr>
      </w:pPr>
      <w:r>
        <w:rPr>
          <w:color w:val="000000"/>
        </w:rPr>
        <w:t>307.766.5415</w:t>
      </w:r>
    </w:p>
    <w:p w:rsidR="00901F32" w:rsidRDefault="00901F32" w:rsidP="004C09A8">
      <w:pPr>
        <w:jc w:val="center"/>
        <w:rPr>
          <w:rFonts w:ascii="Book Antiqua" w:hAnsi="Book Antiqua"/>
          <w:b/>
          <w:color w:val="000000"/>
          <w:sz w:val="22"/>
          <w:szCs w:val="22"/>
        </w:rPr>
      </w:pPr>
    </w:p>
    <w:p w:rsidR="003A5AAC" w:rsidRDefault="003A5AAC" w:rsidP="004C09A8">
      <w:pPr>
        <w:jc w:val="center"/>
        <w:rPr>
          <w:rFonts w:ascii="Book Antiqua" w:hAnsi="Book Antiqua"/>
          <w:b/>
          <w:color w:val="000000"/>
          <w:sz w:val="22"/>
          <w:szCs w:val="22"/>
        </w:rPr>
      </w:pPr>
    </w:p>
    <w:p w:rsidR="00AF6EED" w:rsidRDefault="00AF6EED" w:rsidP="004C09A8">
      <w:pPr>
        <w:jc w:val="center"/>
        <w:rPr>
          <w:rFonts w:ascii="Book Antiqua" w:hAnsi="Book Antiqua"/>
          <w:b/>
          <w:color w:val="000000"/>
          <w:sz w:val="22"/>
          <w:szCs w:val="22"/>
        </w:rPr>
      </w:pPr>
    </w:p>
    <w:p w:rsidR="00AF6EED" w:rsidRDefault="00AF6EED" w:rsidP="004C09A8">
      <w:pPr>
        <w:jc w:val="center"/>
        <w:rPr>
          <w:rFonts w:ascii="Book Antiqua" w:hAnsi="Book Antiqua"/>
          <w:b/>
          <w:color w:val="000000"/>
          <w:sz w:val="22"/>
          <w:szCs w:val="22"/>
        </w:rPr>
      </w:pPr>
    </w:p>
    <w:p w:rsidR="00AF6EED" w:rsidRDefault="00AF6EED" w:rsidP="004C09A8">
      <w:pPr>
        <w:jc w:val="center"/>
        <w:rPr>
          <w:rFonts w:ascii="Book Antiqua" w:hAnsi="Book Antiqua"/>
          <w:b/>
          <w:color w:val="000000"/>
          <w:sz w:val="22"/>
          <w:szCs w:val="22"/>
        </w:rPr>
      </w:pPr>
    </w:p>
    <w:p w:rsidR="003A5AAC" w:rsidRDefault="003A5AAC" w:rsidP="004C09A8">
      <w:pPr>
        <w:jc w:val="center"/>
        <w:rPr>
          <w:rFonts w:ascii="Book Antiqua" w:hAnsi="Book Antiqua"/>
          <w:b/>
          <w:color w:val="000000"/>
          <w:sz w:val="44"/>
          <w:szCs w:val="44"/>
        </w:rPr>
      </w:pPr>
      <w:r w:rsidRPr="003A5AAC">
        <w:rPr>
          <w:rFonts w:ascii="Book Antiqua" w:hAnsi="Book Antiqua"/>
          <w:b/>
          <w:color w:val="000000"/>
          <w:sz w:val="44"/>
          <w:szCs w:val="44"/>
        </w:rPr>
        <w:t>REPORT</w:t>
      </w:r>
    </w:p>
    <w:p w:rsidR="00AF6EED" w:rsidRDefault="00AF6EED" w:rsidP="004C09A8">
      <w:pPr>
        <w:jc w:val="center"/>
        <w:rPr>
          <w:rFonts w:ascii="Book Antiqua" w:hAnsi="Book Antiqua"/>
          <w:b/>
          <w:color w:val="000000"/>
          <w:sz w:val="44"/>
          <w:szCs w:val="44"/>
        </w:rPr>
      </w:pPr>
    </w:p>
    <w:p w:rsidR="00AF6EED" w:rsidRPr="003A5AAC" w:rsidRDefault="00AF6EED" w:rsidP="004C09A8">
      <w:pPr>
        <w:jc w:val="center"/>
        <w:rPr>
          <w:rFonts w:ascii="Book Antiqua" w:hAnsi="Book Antiqua"/>
          <w:b/>
          <w:color w:val="000000"/>
          <w:sz w:val="44"/>
          <w:szCs w:val="44"/>
        </w:rPr>
      </w:pPr>
    </w:p>
    <w:p w:rsidR="003A5AAC" w:rsidRDefault="003A5AAC" w:rsidP="004C09A8">
      <w:pPr>
        <w:jc w:val="center"/>
        <w:rPr>
          <w:rFonts w:ascii="Book Antiqua" w:hAnsi="Book Antiqua"/>
          <w:b/>
          <w:color w:val="000000"/>
          <w:sz w:val="22"/>
          <w:szCs w:val="22"/>
        </w:rPr>
      </w:pPr>
    </w:p>
    <w:p w:rsidR="003A5AAC" w:rsidRDefault="003A5AAC" w:rsidP="004C09A8">
      <w:pPr>
        <w:jc w:val="center"/>
        <w:rPr>
          <w:rFonts w:ascii="Book Antiqua" w:hAnsi="Book Antiqua"/>
          <w:b/>
          <w:color w:val="000000"/>
          <w:sz w:val="22"/>
          <w:szCs w:val="22"/>
        </w:rPr>
      </w:pPr>
    </w:p>
    <w:p w:rsidR="003A5AAC" w:rsidRPr="003A5AAC" w:rsidRDefault="003A5AAC" w:rsidP="003A5AAC">
      <w:pPr>
        <w:rPr>
          <w:rFonts w:ascii="Book Antiqua" w:hAnsi="Book Antiqua"/>
          <w:color w:val="000000"/>
          <w:sz w:val="32"/>
          <w:szCs w:val="32"/>
        </w:rPr>
      </w:pPr>
      <w:r w:rsidRPr="003A5AAC">
        <w:rPr>
          <w:rFonts w:ascii="Book Antiqua" w:hAnsi="Book Antiqua"/>
          <w:b/>
          <w:color w:val="000000"/>
          <w:sz w:val="32"/>
          <w:szCs w:val="32"/>
        </w:rPr>
        <w:t>Title of Project</w:t>
      </w:r>
      <w:r>
        <w:rPr>
          <w:rFonts w:ascii="Book Antiqua" w:hAnsi="Book Antiqua"/>
          <w:b/>
          <w:color w:val="000000"/>
          <w:sz w:val="32"/>
          <w:szCs w:val="32"/>
        </w:rPr>
        <w:t>: __</w:t>
      </w:r>
      <w:r w:rsidR="00017918" w:rsidRPr="00017918">
        <w:rPr>
          <w:rFonts w:ascii="Book Antiqua" w:hAnsi="Book Antiqua"/>
          <w:color w:val="000000"/>
          <w:sz w:val="32"/>
          <w:szCs w:val="32"/>
        </w:rPr>
        <w:t>Elk Pop-II</w:t>
      </w:r>
      <w:r w:rsidR="00017918">
        <w:rPr>
          <w:rFonts w:ascii="Book Antiqua" w:hAnsi="Book Antiqua"/>
          <w:b/>
          <w:color w:val="000000"/>
          <w:sz w:val="32"/>
          <w:szCs w:val="32"/>
        </w:rPr>
        <w:t xml:space="preserve"> _______________</w:t>
      </w:r>
      <w:r>
        <w:rPr>
          <w:rFonts w:ascii="Book Antiqua" w:hAnsi="Book Antiqua"/>
          <w:b/>
          <w:color w:val="000000"/>
          <w:sz w:val="32"/>
          <w:szCs w:val="32"/>
        </w:rPr>
        <w:t>____________</w:t>
      </w:r>
    </w:p>
    <w:p w:rsidR="003A5AAC" w:rsidRPr="003A5AAC" w:rsidRDefault="003A5AAC" w:rsidP="003A5AAC">
      <w:pPr>
        <w:rPr>
          <w:rFonts w:ascii="Book Antiqua" w:hAnsi="Book Antiqua"/>
          <w:b/>
          <w:color w:val="000000"/>
          <w:sz w:val="32"/>
          <w:szCs w:val="32"/>
        </w:rPr>
      </w:pPr>
    </w:p>
    <w:p w:rsidR="003A5AAC" w:rsidRPr="003A5AAC" w:rsidRDefault="003A5AAC" w:rsidP="003A5AAC">
      <w:pPr>
        <w:rPr>
          <w:rFonts w:ascii="Book Antiqua" w:hAnsi="Book Antiqua"/>
          <w:b/>
          <w:color w:val="000000"/>
          <w:sz w:val="32"/>
          <w:szCs w:val="32"/>
        </w:rPr>
      </w:pPr>
      <w:r w:rsidRPr="003A5AAC">
        <w:rPr>
          <w:rFonts w:ascii="Book Antiqua" w:hAnsi="Book Antiqua"/>
          <w:b/>
          <w:color w:val="000000"/>
          <w:sz w:val="32"/>
          <w:szCs w:val="32"/>
        </w:rPr>
        <w:t xml:space="preserve">UW Grant #:  </w:t>
      </w:r>
      <w:r>
        <w:rPr>
          <w:rFonts w:ascii="Book Antiqua" w:hAnsi="Book Antiqua"/>
          <w:b/>
          <w:color w:val="000000"/>
          <w:sz w:val="32"/>
          <w:szCs w:val="32"/>
        </w:rPr>
        <w:t>__</w:t>
      </w:r>
      <w:r w:rsidR="00E07EF0" w:rsidRPr="00E07EF0">
        <w:rPr>
          <w:rFonts w:ascii="Book Antiqua" w:hAnsi="Book Antiqua"/>
          <w:color w:val="000000"/>
          <w:sz w:val="32"/>
          <w:szCs w:val="32"/>
        </w:rPr>
        <w:t>4211.11541.1000897</w:t>
      </w:r>
      <w:r>
        <w:rPr>
          <w:rFonts w:ascii="Book Antiqua" w:hAnsi="Book Antiqua"/>
          <w:b/>
          <w:color w:val="000000"/>
          <w:sz w:val="32"/>
          <w:szCs w:val="32"/>
        </w:rPr>
        <w:t>________________________</w:t>
      </w:r>
    </w:p>
    <w:p w:rsidR="003A5AAC" w:rsidRPr="003A5AAC" w:rsidRDefault="003A5AAC" w:rsidP="003A5AAC">
      <w:pPr>
        <w:rPr>
          <w:rFonts w:ascii="Book Antiqua" w:hAnsi="Book Antiqua"/>
          <w:b/>
          <w:color w:val="000000"/>
          <w:sz w:val="32"/>
          <w:szCs w:val="32"/>
        </w:rPr>
      </w:pPr>
    </w:p>
    <w:p w:rsidR="003A5AAC" w:rsidRPr="003A5AAC" w:rsidRDefault="003A5AAC" w:rsidP="003A5AAC">
      <w:pPr>
        <w:rPr>
          <w:rFonts w:ascii="Book Antiqua" w:hAnsi="Book Antiqua"/>
          <w:b/>
          <w:color w:val="000000"/>
          <w:sz w:val="32"/>
          <w:szCs w:val="32"/>
        </w:rPr>
      </w:pPr>
      <w:r w:rsidRPr="003A5AAC">
        <w:rPr>
          <w:rFonts w:ascii="Book Antiqua" w:hAnsi="Book Antiqua"/>
          <w:b/>
          <w:color w:val="000000"/>
          <w:sz w:val="32"/>
          <w:szCs w:val="32"/>
        </w:rPr>
        <w:t xml:space="preserve">Agency: </w:t>
      </w:r>
      <w:r>
        <w:rPr>
          <w:rFonts w:ascii="Book Antiqua" w:hAnsi="Book Antiqua"/>
          <w:b/>
          <w:color w:val="000000"/>
          <w:sz w:val="32"/>
          <w:szCs w:val="32"/>
        </w:rPr>
        <w:t>___</w:t>
      </w:r>
      <w:r w:rsidR="00017918">
        <w:rPr>
          <w:rFonts w:ascii="Book Antiqua" w:hAnsi="Book Antiqua"/>
          <w:b/>
          <w:color w:val="000000"/>
          <w:sz w:val="32"/>
          <w:szCs w:val="32"/>
        </w:rPr>
        <w:t>______</w:t>
      </w:r>
      <w:r w:rsidR="00017918" w:rsidRPr="00017918">
        <w:rPr>
          <w:rFonts w:ascii="Book Antiqua" w:hAnsi="Book Antiqua"/>
          <w:color w:val="000000"/>
          <w:sz w:val="32"/>
          <w:szCs w:val="32"/>
        </w:rPr>
        <w:t>Wyoming Game and Fish Department</w:t>
      </w:r>
      <w:r>
        <w:rPr>
          <w:rFonts w:ascii="Book Antiqua" w:hAnsi="Book Antiqua"/>
          <w:b/>
          <w:color w:val="000000"/>
          <w:sz w:val="32"/>
          <w:szCs w:val="32"/>
        </w:rPr>
        <w:t>__</w:t>
      </w:r>
    </w:p>
    <w:p w:rsidR="003A5AAC" w:rsidRPr="003A5AAC" w:rsidRDefault="003A5AAC" w:rsidP="003A5AAC">
      <w:pPr>
        <w:rPr>
          <w:rFonts w:ascii="Book Antiqua" w:hAnsi="Book Antiqua"/>
          <w:b/>
          <w:color w:val="000000"/>
          <w:sz w:val="32"/>
          <w:szCs w:val="32"/>
        </w:rPr>
      </w:pPr>
    </w:p>
    <w:p w:rsidR="003A5AAC" w:rsidRPr="003A5AAC" w:rsidRDefault="003A5AAC" w:rsidP="003A5AAC">
      <w:pPr>
        <w:rPr>
          <w:rFonts w:ascii="Book Antiqua" w:hAnsi="Book Antiqua"/>
          <w:b/>
          <w:color w:val="000000"/>
          <w:sz w:val="32"/>
          <w:szCs w:val="32"/>
        </w:rPr>
      </w:pPr>
      <w:r w:rsidRPr="003A5AAC">
        <w:rPr>
          <w:rFonts w:ascii="Book Antiqua" w:hAnsi="Book Antiqua"/>
          <w:b/>
          <w:color w:val="000000"/>
          <w:sz w:val="32"/>
          <w:szCs w:val="32"/>
        </w:rPr>
        <w:t xml:space="preserve">Agency #: </w:t>
      </w:r>
      <w:r>
        <w:rPr>
          <w:rFonts w:ascii="Book Antiqua" w:hAnsi="Book Antiqua"/>
          <w:b/>
          <w:color w:val="000000"/>
          <w:sz w:val="32"/>
          <w:szCs w:val="32"/>
        </w:rPr>
        <w:t>__</w:t>
      </w:r>
      <w:bookmarkStart w:id="0" w:name="_GoBack"/>
      <w:r w:rsidR="00E07EF0" w:rsidRPr="00E07EF0">
        <w:rPr>
          <w:rFonts w:ascii="Book Antiqua" w:hAnsi="Book Antiqua"/>
          <w:color w:val="000000"/>
          <w:sz w:val="32"/>
          <w:szCs w:val="32"/>
        </w:rPr>
        <w:t>001202</w:t>
      </w:r>
      <w:bookmarkEnd w:id="0"/>
      <w:r w:rsidR="00017918">
        <w:rPr>
          <w:rFonts w:ascii="Book Antiqua" w:hAnsi="Book Antiqua"/>
          <w:b/>
          <w:sz w:val="32"/>
          <w:szCs w:val="32"/>
        </w:rPr>
        <w:t>_</w:t>
      </w:r>
      <w:r w:rsidRPr="00017918">
        <w:rPr>
          <w:rFonts w:ascii="Book Antiqua" w:hAnsi="Book Antiqua"/>
          <w:b/>
          <w:sz w:val="32"/>
          <w:szCs w:val="32"/>
        </w:rPr>
        <w:t>_</w:t>
      </w:r>
      <w:r>
        <w:rPr>
          <w:rFonts w:ascii="Book Antiqua" w:hAnsi="Book Antiqua"/>
          <w:b/>
          <w:color w:val="000000"/>
          <w:sz w:val="32"/>
          <w:szCs w:val="32"/>
        </w:rPr>
        <w:t>________________________</w:t>
      </w:r>
    </w:p>
    <w:p w:rsidR="003A5AAC" w:rsidRPr="003A5AAC" w:rsidRDefault="003A5AAC" w:rsidP="003A5AAC">
      <w:pPr>
        <w:rPr>
          <w:rFonts w:ascii="Book Antiqua" w:hAnsi="Book Antiqua"/>
          <w:b/>
          <w:color w:val="000000"/>
          <w:sz w:val="32"/>
          <w:szCs w:val="32"/>
        </w:rPr>
      </w:pPr>
    </w:p>
    <w:p w:rsidR="003A5AAC" w:rsidRPr="003A5AAC" w:rsidRDefault="003A5AAC" w:rsidP="003A5AAC">
      <w:pPr>
        <w:rPr>
          <w:color w:val="000000"/>
          <w:sz w:val="32"/>
          <w:szCs w:val="32"/>
        </w:rPr>
      </w:pPr>
      <w:r w:rsidRPr="003A5AAC">
        <w:rPr>
          <w:rFonts w:ascii="Book Antiqua" w:hAnsi="Book Antiqua"/>
          <w:b/>
          <w:color w:val="000000"/>
          <w:sz w:val="32"/>
          <w:szCs w:val="32"/>
        </w:rPr>
        <w:t xml:space="preserve">Type of Report: </w:t>
      </w:r>
      <w:r>
        <w:rPr>
          <w:rFonts w:ascii="Book Antiqua" w:hAnsi="Book Antiqua"/>
          <w:b/>
          <w:color w:val="000000"/>
          <w:sz w:val="32"/>
          <w:szCs w:val="32"/>
        </w:rPr>
        <w:t>__</w:t>
      </w:r>
      <w:r w:rsidR="00017918" w:rsidRPr="00017918">
        <w:rPr>
          <w:rFonts w:ascii="Book Antiqua" w:hAnsi="Book Antiqua"/>
          <w:color w:val="000000"/>
          <w:sz w:val="32"/>
          <w:szCs w:val="32"/>
        </w:rPr>
        <w:t>Annual Report</w:t>
      </w:r>
      <w:r>
        <w:rPr>
          <w:rFonts w:ascii="Book Antiqua" w:hAnsi="Book Antiqua"/>
          <w:b/>
          <w:color w:val="000000"/>
          <w:sz w:val="32"/>
          <w:szCs w:val="32"/>
        </w:rPr>
        <w:t>___________________</w:t>
      </w:r>
    </w:p>
    <w:p w:rsidR="00DF1469" w:rsidRDefault="00DF1469" w:rsidP="004C09A8">
      <w:pPr>
        <w:jc w:val="center"/>
        <w:rPr>
          <w:color w:val="000000"/>
        </w:rPr>
      </w:pPr>
    </w:p>
    <w:p w:rsidR="00AF6EED" w:rsidRDefault="00AF6EED" w:rsidP="004C09A8">
      <w:pPr>
        <w:jc w:val="center"/>
        <w:rPr>
          <w:color w:val="000000"/>
        </w:rPr>
      </w:pPr>
    </w:p>
    <w:p w:rsidR="00AF6EED" w:rsidRDefault="00AF6EED" w:rsidP="004C09A8">
      <w:pPr>
        <w:jc w:val="center"/>
        <w:rPr>
          <w:color w:val="000000"/>
        </w:rPr>
      </w:pPr>
    </w:p>
    <w:p w:rsidR="00AF6EED" w:rsidRDefault="00AF6EED" w:rsidP="004C09A8">
      <w:pPr>
        <w:jc w:val="center"/>
        <w:rPr>
          <w:color w:val="000000"/>
        </w:rPr>
      </w:pPr>
    </w:p>
    <w:p w:rsidR="00AF6EED" w:rsidRDefault="00AF6EED" w:rsidP="004C09A8">
      <w:pPr>
        <w:jc w:val="center"/>
        <w:rPr>
          <w:color w:val="000000"/>
        </w:rPr>
      </w:pPr>
    </w:p>
    <w:p w:rsidR="00AF6EED" w:rsidRDefault="00AF6EED" w:rsidP="004C09A8">
      <w:pPr>
        <w:jc w:val="center"/>
        <w:rPr>
          <w:color w:val="000000"/>
        </w:rPr>
      </w:pPr>
    </w:p>
    <w:p w:rsidR="00AF6EED" w:rsidRDefault="00AF6EED" w:rsidP="004C09A8">
      <w:pPr>
        <w:jc w:val="center"/>
        <w:rPr>
          <w:color w:val="000000"/>
        </w:rPr>
      </w:pPr>
    </w:p>
    <w:p w:rsidR="00AF6EED" w:rsidRDefault="00AF6EED" w:rsidP="004C09A8">
      <w:pPr>
        <w:jc w:val="center"/>
        <w:rPr>
          <w:color w:val="000000"/>
        </w:rPr>
      </w:pPr>
    </w:p>
    <w:p w:rsidR="00DF1469" w:rsidRDefault="00DF1469" w:rsidP="004C09A8">
      <w:pPr>
        <w:jc w:val="center"/>
        <w:rPr>
          <w:color w:val="000000"/>
        </w:rPr>
      </w:pPr>
    </w:p>
    <w:p w:rsidR="00DF1469" w:rsidRDefault="00DF1469" w:rsidP="004C09A8">
      <w:pPr>
        <w:jc w:val="center"/>
        <w:rPr>
          <w:color w:val="000000"/>
        </w:rPr>
      </w:pPr>
    </w:p>
    <w:p w:rsidR="00FE7DB2" w:rsidRDefault="00FE7DB2" w:rsidP="00FE7DB2">
      <w:pPr>
        <w:framePr w:hSpace="180" w:wrap="around" w:vAnchor="text" w:hAnchor="page" w:x="4866" w:y="23"/>
        <w:jc w:val="center"/>
      </w:pPr>
      <w:r>
        <w:object w:dxaOrig="2923"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54pt" o:ole="" fillcolor="window">
            <v:imagedata r:id="rId8" o:title=""/>
          </v:shape>
          <o:OLEObject Type="Embed" ProgID="Word.Picture.8" ShapeID="_x0000_i1025" DrawAspect="Content" ObjectID="_1376216362" r:id="rId9"/>
        </w:object>
      </w:r>
    </w:p>
    <w:p w:rsidR="00FE7DB2" w:rsidRDefault="00FE7DB2" w:rsidP="00FE7DB2">
      <w:pPr>
        <w:rPr>
          <w:color w:val="000000"/>
        </w:rPr>
      </w:pPr>
    </w:p>
    <w:p w:rsidR="004C09A8" w:rsidRDefault="00F65046" w:rsidP="004C09A8">
      <w:pPr>
        <w:jc w:val="center"/>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AF6EED" w:rsidRDefault="00AF6EED" w:rsidP="004C09A8">
      <w:pPr>
        <w:jc w:val="center"/>
        <w:rPr>
          <w:color w:val="000000"/>
          <w:sz w:val="22"/>
        </w:rPr>
      </w:pPr>
    </w:p>
    <w:p w:rsidR="007851DA" w:rsidRDefault="007851DA" w:rsidP="007851DA">
      <w:pPr>
        <w:pStyle w:val="BodyText"/>
        <w:widowControl w:val="0"/>
        <w:jc w:val="center"/>
        <w:rPr>
          <w:rFonts w:ascii="Times New Roman" w:hAnsi="Times New Roman" w:cs="Times New Roman"/>
          <w:b/>
          <w:bCs/>
          <w:sz w:val="40"/>
          <w:szCs w:val="40"/>
          <w14:ligatures w14:val="none"/>
        </w:rPr>
      </w:pPr>
      <w:r>
        <w:rPr>
          <w:rFonts w:ascii="Times New Roman" w:hAnsi="Times New Roman" w:cs="Times New Roman"/>
          <w:sz w:val="24"/>
          <w:szCs w:val="24"/>
          <w14:ligatures w14:val="none"/>
        </w:rPr>
        <w:lastRenderedPageBreak/>
        <w:t>2010-2011 Annual Report</w:t>
      </w:r>
    </w:p>
    <w:p w:rsidR="007851DA" w:rsidRPr="00BD0AD3" w:rsidRDefault="007851DA" w:rsidP="007851DA">
      <w:pPr>
        <w:pStyle w:val="BodyText"/>
        <w:widowControl w:val="0"/>
        <w:jc w:val="center"/>
        <w:rPr>
          <w:rFonts w:ascii="Times New Roman" w:hAnsi="Times New Roman" w:cs="Times New Roman"/>
          <w:sz w:val="36"/>
          <w:szCs w:val="36"/>
          <w14:ligatures w14:val="none"/>
        </w:rPr>
      </w:pPr>
      <w:r w:rsidRPr="00BD0AD3">
        <w:rPr>
          <w:rFonts w:ascii="Times New Roman" w:hAnsi="Times New Roman" w:cs="Times New Roman"/>
          <w:b/>
          <w:bCs/>
          <w:sz w:val="36"/>
          <w:szCs w:val="36"/>
          <w14:ligatures w14:val="none"/>
        </w:rPr>
        <w:t xml:space="preserve">A quantitative evaluation of survey efforts to model, monitor, and manage Wyoming ungulate populations </w:t>
      </w:r>
    </w:p>
    <w:p w:rsidR="007851DA" w:rsidRPr="007851DA" w:rsidRDefault="007851DA" w:rsidP="007851DA">
      <w:pPr>
        <w:widowControl w:val="0"/>
        <w:rPr>
          <w:sz w:val="20"/>
          <w:szCs w:val="20"/>
        </w:rPr>
      </w:pPr>
      <w:r>
        <w:t> </w:t>
      </w:r>
    </w:p>
    <w:p w:rsidR="007851DA" w:rsidRDefault="007851DA" w:rsidP="007851DA">
      <w:pPr>
        <w:widowControl w:val="0"/>
        <w:jc w:val="center"/>
      </w:pPr>
      <w:r>
        <w:t xml:space="preserve">Thomas Morrison </w:t>
      </w:r>
      <w:r w:rsidR="00EA7CF9">
        <w:t xml:space="preserve">(Postdoc) </w:t>
      </w:r>
      <w:r>
        <w:t>&amp; Matt Kauffman</w:t>
      </w:r>
      <w:r w:rsidR="00EA7CF9">
        <w:t xml:space="preserve"> (Unit Leader)</w:t>
      </w:r>
    </w:p>
    <w:p w:rsidR="007851DA" w:rsidRDefault="007851DA" w:rsidP="007851DA">
      <w:pPr>
        <w:widowControl w:val="0"/>
        <w:jc w:val="center"/>
      </w:pPr>
      <w:r>
        <w:t>Wyoming Cooperative Fish and Wildlife Research Unit, Laramie, WY</w:t>
      </w:r>
    </w:p>
    <w:p w:rsidR="007851DA" w:rsidRDefault="007851DA" w:rsidP="007851DA">
      <w:pPr>
        <w:widowControl w:val="0"/>
        <w:jc w:val="center"/>
        <w:rPr>
          <w:b/>
          <w:bCs/>
        </w:rPr>
      </w:pPr>
      <w:r>
        <w:rPr>
          <w:b/>
          <w:bCs/>
        </w:rPr>
        <w:t> </w:t>
      </w:r>
    </w:p>
    <w:p w:rsidR="007851DA" w:rsidRDefault="007851DA" w:rsidP="007851DA">
      <w:pPr>
        <w:widowControl w:val="0"/>
        <w:jc w:val="center"/>
      </w:pPr>
      <w:r>
        <w:t>Bob Lanka &amp; Bill Rudd</w:t>
      </w:r>
    </w:p>
    <w:p w:rsidR="007851DA" w:rsidRDefault="007851DA" w:rsidP="007851DA">
      <w:pPr>
        <w:widowControl w:val="0"/>
        <w:jc w:val="center"/>
      </w:pPr>
      <w:r>
        <w:t>Wyoming Game and Fish Department</w:t>
      </w:r>
    </w:p>
    <w:p w:rsidR="007851DA" w:rsidRDefault="007851DA" w:rsidP="007851DA">
      <w:pPr>
        <w:widowControl w:val="0"/>
        <w:jc w:val="center"/>
        <w:rPr>
          <w:b/>
          <w:bCs/>
        </w:rPr>
      </w:pPr>
    </w:p>
    <w:p w:rsidR="007851DA" w:rsidRDefault="007851DA" w:rsidP="007851DA">
      <w:pPr>
        <w:widowControl w:val="0"/>
        <w:jc w:val="center"/>
        <w:rPr>
          <w:b/>
          <w:bCs/>
        </w:rPr>
      </w:pPr>
      <w:r>
        <w:rPr>
          <w:b/>
          <w:bCs/>
        </w:rPr>
        <w:t> </w:t>
      </w:r>
    </w:p>
    <w:p w:rsidR="007851DA" w:rsidRDefault="007851DA" w:rsidP="007851DA">
      <w:pPr>
        <w:widowControl w:val="0"/>
        <w:jc w:val="center"/>
        <w:rPr>
          <w:b/>
          <w:bCs/>
        </w:rPr>
      </w:pPr>
      <w:r>
        <w:rPr>
          <w:b/>
          <w:bCs/>
        </w:rPr>
        <w:t>INTRODUCTION</w:t>
      </w:r>
    </w:p>
    <w:p w:rsidR="007851DA" w:rsidRDefault="007851DA" w:rsidP="00EA7CF9">
      <w:pPr>
        <w:widowControl w:val="0"/>
        <w:ind w:firstLine="720"/>
      </w:pPr>
      <w:r w:rsidRPr="009E5FAB">
        <w:t xml:space="preserve">The survey, data collection and modeling protocols in place within </w:t>
      </w:r>
      <w:r>
        <w:t>Wyoming Game and Fish Department</w:t>
      </w:r>
      <w:r w:rsidRPr="009E5FAB">
        <w:t xml:space="preserve"> have evolved over the years but may not be optimized to allow efficient management of elk, mule deer and </w:t>
      </w:r>
      <w:r w:rsidR="00BD0AD3">
        <w:t>pronghorn</w:t>
      </w:r>
      <w:r w:rsidRPr="009E5FAB">
        <w:t xml:space="preserve"> under current fiscal, logistical, or environmental constraints. The Colorado Division of Wildlife </w:t>
      </w:r>
      <w:r w:rsidR="00737284">
        <w:t xml:space="preserve">(CDOW) </w:t>
      </w:r>
      <w:r w:rsidRPr="009E5FAB">
        <w:t>has developed a population model implemented in MS Excel – the ‘Spreadsheet Model’</w:t>
      </w:r>
      <w:r>
        <w:t xml:space="preserve"> </w:t>
      </w:r>
      <w:r w:rsidRPr="009E5FAB">
        <w:t>– which offers a number of practical advantages over the current modeling software, POP-II</w:t>
      </w:r>
      <w:r>
        <w:t xml:space="preserve">. </w:t>
      </w:r>
    </w:p>
    <w:p w:rsidR="007851DA" w:rsidRDefault="007851DA" w:rsidP="00EA7CF9">
      <w:pPr>
        <w:widowControl w:val="0"/>
        <w:ind w:firstLine="720"/>
      </w:pPr>
      <w:r>
        <w:t>In November 2011,</w:t>
      </w:r>
      <w:r>
        <w:rPr>
          <w:b/>
          <w:bCs/>
        </w:rPr>
        <w:t xml:space="preserve"> </w:t>
      </w:r>
      <w:r>
        <w:t xml:space="preserve">the WGFD and the Wyoming Cooperative Fish and Wildlife Research Unit at the University of Wyoming initiated a project to assess WGFD’s ungulate monitoring and modeling procedures. </w:t>
      </w:r>
      <w:r w:rsidR="00BD1385">
        <w:t>A postdoc in the Coop Unit, Thomas Morrison,</w:t>
      </w:r>
      <w:r>
        <w:t xml:space="preserve"> was hired to lead this effort. The overall goal of the project is to assist the WGFD in developing a practical, cost-effective and statistically rigorous methodology for monitoring and modeling WY ungulates</w:t>
      </w:r>
      <w:r w:rsidR="00737284">
        <w:t>, which may include changes to monitoring protocols and a transition to the CDOW’s Spreadsheet model</w:t>
      </w:r>
      <w:r>
        <w:t xml:space="preserve">. </w:t>
      </w:r>
    </w:p>
    <w:p w:rsidR="007851DA" w:rsidRDefault="007851DA" w:rsidP="007851DA">
      <w:pPr>
        <w:widowControl w:val="0"/>
      </w:pPr>
      <w:r>
        <w:t> </w:t>
      </w:r>
    </w:p>
    <w:p w:rsidR="007851DA" w:rsidRDefault="007851DA" w:rsidP="007851DA">
      <w:pPr>
        <w:widowControl w:val="0"/>
        <w:jc w:val="center"/>
        <w:rPr>
          <w:b/>
          <w:bCs/>
        </w:rPr>
      </w:pPr>
      <w:r>
        <w:rPr>
          <w:b/>
          <w:bCs/>
        </w:rPr>
        <w:t>CURRENT OBJECTIVES</w:t>
      </w:r>
    </w:p>
    <w:p w:rsidR="007851DA" w:rsidRDefault="007851DA" w:rsidP="007851DA">
      <w:pPr>
        <w:widowControl w:val="0"/>
        <w:ind w:left="360" w:hanging="360"/>
      </w:pPr>
      <w:r>
        <w:t>I. </w:t>
      </w:r>
      <w:r>
        <w:tab/>
        <w:t>Learn to use the</w:t>
      </w:r>
      <w:r w:rsidR="00737284">
        <w:t xml:space="preserve"> CDOW’s </w:t>
      </w:r>
      <w:r>
        <w:t xml:space="preserve">Spreadsheet model and evaluate the software as a possible alternative to POP-II, WGFD’s current modeling software.  </w:t>
      </w:r>
    </w:p>
    <w:p w:rsidR="007851DA" w:rsidRDefault="007851DA" w:rsidP="007851DA">
      <w:pPr>
        <w:widowControl w:val="0"/>
        <w:ind w:left="360" w:hanging="360"/>
      </w:pPr>
      <w:r>
        <w:t>II. </w:t>
      </w:r>
      <w:r>
        <w:tab/>
        <w:t xml:space="preserve">Assess the ability of POP-II to estimate herd abundances and population trends. To do this we have asked WGFD biologists to separately model abundance using standardized simulated datasets of mule deer populations, where true abundances and trends are ‘known.’ </w:t>
      </w:r>
    </w:p>
    <w:p w:rsidR="007851DA" w:rsidRDefault="007851DA" w:rsidP="007851DA">
      <w:pPr>
        <w:widowControl w:val="0"/>
        <w:ind w:left="360" w:hanging="360"/>
      </w:pPr>
      <w:r>
        <w:t xml:space="preserve">III. Evaluate the power to detect ungulate population trends under various monitoring approaches and sampling intensities across a range of population densities and growth trajectories. This work will include an economic evaluation of each monitoring scenarios. </w:t>
      </w:r>
    </w:p>
    <w:p w:rsidR="007851DA" w:rsidRDefault="007851DA" w:rsidP="007851DA">
      <w:pPr>
        <w:widowControl w:val="0"/>
      </w:pPr>
      <w:r>
        <w:t> </w:t>
      </w:r>
    </w:p>
    <w:p w:rsidR="007851DA" w:rsidRDefault="007851DA" w:rsidP="007851DA">
      <w:pPr>
        <w:widowControl w:val="0"/>
        <w:jc w:val="center"/>
        <w:rPr>
          <w:b/>
          <w:bCs/>
        </w:rPr>
      </w:pPr>
      <w:r>
        <w:rPr>
          <w:b/>
          <w:bCs/>
        </w:rPr>
        <w:t>PROGRESS TO DATE</w:t>
      </w:r>
    </w:p>
    <w:p w:rsidR="007851DA" w:rsidRDefault="007851DA" w:rsidP="007851DA">
      <w:pPr>
        <w:widowControl w:val="0"/>
      </w:pPr>
      <w:r>
        <w:rPr>
          <w:b/>
          <w:bCs/>
        </w:rPr>
        <w:t xml:space="preserve">Objective I. </w:t>
      </w:r>
      <w:r>
        <w:t>Because CDOW’s Spreadsheet model did not include user instructions, we have developed a draft user’s manual and simplified data entry spreadsheet that conforms to WGFD’s current data structure. We have also asked Andy Holland (CDOW’s Big Game Biologist) to model a set of simulated datasets (see objective II) to determine whether they do a better job of estimating abundance and detecting population trends than POP-II.</w:t>
      </w:r>
    </w:p>
    <w:p w:rsidR="007851DA" w:rsidRDefault="007851DA" w:rsidP="007851DA">
      <w:pPr>
        <w:widowControl w:val="0"/>
      </w:pPr>
      <w:r>
        <w:t> </w:t>
      </w:r>
    </w:p>
    <w:p w:rsidR="007851DA" w:rsidRDefault="007851DA" w:rsidP="007851DA">
      <w:pPr>
        <w:widowControl w:val="0"/>
      </w:pPr>
      <w:r>
        <w:t> </w:t>
      </w:r>
    </w:p>
    <w:p w:rsidR="007851DA" w:rsidRDefault="007851DA" w:rsidP="007851DA">
      <w:pPr>
        <w:widowControl w:val="0"/>
        <w:rPr>
          <w:b/>
          <w:bCs/>
        </w:rPr>
      </w:pPr>
      <w:r>
        <w:rPr>
          <w:b/>
          <w:bCs/>
        </w:rPr>
        <w:lastRenderedPageBreak/>
        <w:t> </w:t>
      </w:r>
    </w:p>
    <w:p w:rsidR="00BD0AD3" w:rsidRDefault="00737284" w:rsidP="007851DA">
      <w:pPr>
        <w:widowControl w:val="0"/>
        <w:rPr>
          <w:b/>
          <w:bCs/>
        </w:rPr>
      </w:pPr>
      <w:r>
        <w:rPr>
          <w:noProof/>
        </w:rPr>
        <w:drawing>
          <wp:anchor distT="36576" distB="36576" distL="36576" distR="36576" simplePos="0" relativeHeight="251659776" behindDoc="0" locked="0" layoutInCell="1" allowOverlap="1" wp14:anchorId="0CF71848" wp14:editId="7E6B2A04">
            <wp:simplePos x="0" y="0"/>
            <wp:positionH relativeFrom="column">
              <wp:posOffset>457200</wp:posOffset>
            </wp:positionH>
            <wp:positionV relativeFrom="paragraph">
              <wp:posOffset>-39370</wp:posOffset>
            </wp:positionV>
            <wp:extent cx="4981575" cy="4981575"/>
            <wp:effectExtent l="0" t="0" r="9525" b="9525"/>
            <wp:wrapNone/>
            <wp:docPr id="2" name="Picture 2" descr="true pop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e pop tre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4981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D0AD3" w:rsidRDefault="00BD0AD3" w:rsidP="007851DA">
      <w:pPr>
        <w:widowControl w:val="0"/>
        <w:rPr>
          <w:b/>
          <w:bCs/>
        </w:rPr>
      </w:pPr>
    </w:p>
    <w:p w:rsidR="00BD0AD3" w:rsidRDefault="00BD0AD3" w:rsidP="007851DA">
      <w:pPr>
        <w:widowControl w:val="0"/>
        <w:rPr>
          <w:b/>
          <w:bCs/>
        </w:rPr>
      </w:pPr>
    </w:p>
    <w:p w:rsidR="00BD0AD3" w:rsidRDefault="00BD0AD3" w:rsidP="007851DA">
      <w:pPr>
        <w:widowControl w:val="0"/>
        <w:rPr>
          <w:b/>
          <w:bCs/>
        </w:rPr>
      </w:pPr>
    </w:p>
    <w:p w:rsidR="00BD0AD3" w:rsidRDefault="00BD0AD3" w:rsidP="007851DA">
      <w:pPr>
        <w:widowControl w:val="0"/>
        <w:rPr>
          <w:b/>
          <w:bCs/>
        </w:rPr>
      </w:pPr>
    </w:p>
    <w:p w:rsidR="007851DA" w:rsidRDefault="007851DA" w:rsidP="007851DA">
      <w:pPr>
        <w:widowControl w:val="0"/>
        <w:rPr>
          <w:b/>
          <w:bCs/>
        </w:rPr>
      </w:pPr>
      <w:r>
        <w:rPr>
          <w:b/>
          <w:bCs/>
        </w:rPr>
        <w:t> </w:t>
      </w:r>
    </w:p>
    <w:p w:rsidR="007851DA" w:rsidRDefault="007851DA" w:rsidP="007851DA">
      <w:pPr>
        <w:widowControl w:val="0"/>
        <w:rPr>
          <w:rFonts w:ascii="Calibri" w:hAnsi="Calibri" w:cs="Calibri"/>
          <w:sz w:val="20"/>
          <w:szCs w:val="20"/>
        </w:rPr>
      </w:pPr>
      <w:r>
        <w:t> </w:t>
      </w:r>
    </w:p>
    <w:p w:rsidR="007851DA" w:rsidRDefault="007851DA" w:rsidP="004C09A8">
      <w:pPr>
        <w:jc w:val="center"/>
        <w:rPr>
          <w:color w:val="000000"/>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Pr="007851DA" w:rsidRDefault="007851DA" w:rsidP="007851DA">
      <w:pPr>
        <w:rPr>
          <w:sz w:val="22"/>
        </w:rPr>
      </w:pPr>
    </w:p>
    <w:p w:rsidR="007851DA" w:rsidRDefault="007851DA" w:rsidP="007851DA">
      <w:pPr>
        <w:rPr>
          <w:sz w:val="22"/>
        </w:rPr>
      </w:pPr>
    </w:p>
    <w:p w:rsidR="007851DA" w:rsidRDefault="000440DB" w:rsidP="00737284">
      <w:pPr>
        <w:ind w:left="720" w:right="1080"/>
        <w:rPr>
          <w:sz w:val="22"/>
        </w:rPr>
      </w:pPr>
      <w:r w:rsidRPr="000440DB">
        <w:rPr>
          <w:b/>
          <w:sz w:val="22"/>
        </w:rPr>
        <w:t>Fig 1</w:t>
      </w:r>
      <w:r w:rsidR="007851DA" w:rsidRPr="007851DA">
        <w:rPr>
          <w:sz w:val="22"/>
        </w:rPr>
        <w:t>.</w:t>
      </w:r>
      <w:r w:rsidR="007851DA">
        <w:rPr>
          <w:sz w:val="22"/>
        </w:rPr>
        <w:t xml:space="preserve"> Example of the six simulated datasets of mule deer given to WGFD biologists to model in POP-II. Two populations were increasing, two were stable and two were decreasing over 20-year periods. </w:t>
      </w:r>
    </w:p>
    <w:p w:rsidR="007851DA" w:rsidRDefault="007851DA" w:rsidP="007851DA">
      <w:pPr>
        <w:rPr>
          <w:sz w:val="22"/>
        </w:rPr>
      </w:pPr>
    </w:p>
    <w:p w:rsidR="00BD0AD3" w:rsidRDefault="00BD0AD3" w:rsidP="007851DA">
      <w:pPr>
        <w:rPr>
          <w:sz w:val="22"/>
        </w:rPr>
      </w:pPr>
    </w:p>
    <w:p w:rsidR="00BD0AD3" w:rsidRPr="00737284" w:rsidRDefault="00BD0AD3" w:rsidP="00BD0AD3">
      <w:pPr>
        <w:widowControl w:val="0"/>
        <w:rPr>
          <w:b/>
          <w:bCs/>
        </w:rPr>
      </w:pPr>
      <w:r>
        <w:rPr>
          <w:b/>
          <w:bCs/>
        </w:rPr>
        <w:t xml:space="preserve">Objective II. </w:t>
      </w:r>
      <w:r>
        <w:t xml:space="preserve">We </w:t>
      </w:r>
      <w:r w:rsidR="00BD1385">
        <w:t xml:space="preserve">generated simulated mule deer monitoring datasets based on existing WGFD data (classification and harvest data). These datasets were intended to mimic existing data but allow us to manipulate population trends and to know the true population sizes. We </w:t>
      </w:r>
      <w:r>
        <w:t xml:space="preserve">distributed </w:t>
      </w:r>
      <w:r w:rsidR="00BD1385">
        <w:t xml:space="preserve">these datasets </w:t>
      </w:r>
      <w:r>
        <w:t xml:space="preserve">to state biologists and asked </w:t>
      </w:r>
      <w:r w:rsidR="00BD1385">
        <w:t>each biologist</w:t>
      </w:r>
      <w:r>
        <w:t xml:space="preserve"> to model them in POP-II. These data will reveal the accuracy and precision of POP-II</w:t>
      </w:r>
      <w:r w:rsidR="00BD1385">
        <w:t xml:space="preserve"> and a summary of the</w:t>
      </w:r>
      <w:r>
        <w:t xml:space="preserve"> </w:t>
      </w:r>
      <w:r w:rsidR="00BD1385">
        <w:t>results</w:t>
      </w:r>
      <w:r>
        <w:t xml:space="preserve"> </w:t>
      </w:r>
      <w:r w:rsidR="00BD1385">
        <w:t xml:space="preserve">will be present </w:t>
      </w:r>
      <w:r>
        <w:t>at the Big Game Bi</w:t>
      </w:r>
      <w:r w:rsidR="00BD1385">
        <w:t xml:space="preserve">ologist meeting in August 2011. </w:t>
      </w:r>
    </w:p>
    <w:p w:rsidR="007851DA" w:rsidRDefault="007851DA" w:rsidP="007851DA">
      <w:pPr>
        <w:rPr>
          <w:sz w:val="22"/>
        </w:rPr>
      </w:pPr>
    </w:p>
    <w:p w:rsidR="00017918" w:rsidRDefault="007851DA" w:rsidP="00BD0AD3">
      <w:pPr>
        <w:spacing w:after="200" w:line="276" w:lineRule="auto"/>
      </w:pPr>
      <w:r w:rsidRPr="00737284">
        <w:rPr>
          <w:b/>
        </w:rPr>
        <w:t>Objective III</w:t>
      </w:r>
      <w:r w:rsidRPr="00737284">
        <w:t xml:space="preserve">.  We have developed a framework for </w:t>
      </w:r>
      <w:r w:rsidR="00BD0AD3" w:rsidRPr="00737284">
        <w:t xml:space="preserve">analyzing alternative monitoring protocols. We will assess four main categories of monitoring protocols: </w:t>
      </w:r>
      <w:r w:rsidR="00BD0AD3" w:rsidRPr="00737284">
        <w:rPr>
          <w:bCs/>
        </w:rPr>
        <w:t xml:space="preserve">Quadrat-based classification counts, </w:t>
      </w:r>
      <w:r w:rsidR="00BD0AD3" w:rsidRPr="00737284">
        <w:t xml:space="preserve">Quadrat-based abundance estimates, Sightability models, Survival. Using the CDOW Spreadsheet Model, we will compare the trade-off between sampling intensity (and cost) and </w:t>
      </w:r>
      <w:r w:rsidR="00BD0AD3" w:rsidRPr="00737284">
        <w:lastRenderedPageBreak/>
        <w:t xml:space="preserve">precision under a number of different monitoring (n=36), population growth (n=7) and density (n=2) scenarios. An example of potential results is shown below. </w:t>
      </w:r>
    </w:p>
    <w:p w:rsidR="00737284" w:rsidRPr="00737284" w:rsidRDefault="00737284" w:rsidP="00BD0AD3">
      <w:pPr>
        <w:spacing w:after="200" w:line="276" w:lineRule="auto"/>
      </w:pPr>
    </w:p>
    <w:p w:rsidR="00BD0AD3" w:rsidRPr="00CA5C31" w:rsidRDefault="00BD0AD3" w:rsidP="00BD0AD3">
      <w:pPr>
        <w:jc w:val="center"/>
        <w:rPr>
          <w:bCs/>
          <w:u w:val="single"/>
        </w:rPr>
      </w:pPr>
      <w:r w:rsidRPr="00CA5C31">
        <w:rPr>
          <w:bCs/>
          <w:u w:val="single"/>
        </w:rPr>
        <w:t>Hypothetical results</w:t>
      </w:r>
    </w:p>
    <w:p w:rsidR="00BD0AD3" w:rsidRDefault="00BD0AD3" w:rsidP="000440DB">
      <w:pPr>
        <w:jc w:val="center"/>
      </w:pPr>
      <w:r>
        <w:rPr>
          <w:noProof/>
        </w:rPr>
        <w:drawing>
          <wp:inline distT="0" distB="0" distL="0" distR="0">
            <wp:extent cx="4467225" cy="26770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7891" cy="2677479"/>
                    </a:xfrm>
                    <a:prstGeom prst="rect">
                      <a:avLst/>
                    </a:prstGeom>
                    <a:noFill/>
                    <a:ln>
                      <a:noFill/>
                    </a:ln>
                  </pic:spPr>
                </pic:pic>
              </a:graphicData>
            </a:graphic>
          </wp:inline>
        </w:drawing>
      </w:r>
    </w:p>
    <w:p w:rsidR="00BD0AD3" w:rsidRPr="00737284" w:rsidRDefault="000440DB" w:rsidP="00737284">
      <w:pPr>
        <w:tabs>
          <w:tab w:val="left" w:pos="9090"/>
        </w:tabs>
        <w:ind w:left="360" w:right="180"/>
        <w:rPr>
          <w:sz w:val="22"/>
          <w:szCs w:val="22"/>
        </w:rPr>
      </w:pPr>
      <w:r w:rsidRPr="00737284">
        <w:rPr>
          <w:b/>
          <w:sz w:val="22"/>
          <w:szCs w:val="22"/>
        </w:rPr>
        <w:t>Fig 2</w:t>
      </w:r>
      <w:r w:rsidR="00BD0AD3" w:rsidRPr="00737284">
        <w:rPr>
          <w:b/>
          <w:sz w:val="22"/>
          <w:szCs w:val="22"/>
        </w:rPr>
        <w:t xml:space="preserve">. </w:t>
      </w:r>
      <w:r w:rsidR="00BD0AD3" w:rsidRPr="00737284">
        <w:rPr>
          <w:sz w:val="22"/>
          <w:szCs w:val="22"/>
        </w:rPr>
        <w:t xml:space="preserve">Hypothetical relationships between </w:t>
      </w:r>
      <w:r w:rsidRPr="00737284">
        <w:rPr>
          <w:sz w:val="22"/>
          <w:szCs w:val="22"/>
        </w:rPr>
        <w:t xml:space="preserve">different combinations of </w:t>
      </w:r>
      <w:r w:rsidR="00BD0AD3" w:rsidRPr="00737284">
        <w:rPr>
          <w:sz w:val="22"/>
          <w:szCs w:val="22"/>
        </w:rPr>
        <w:t xml:space="preserve">monitoring </w:t>
      </w:r>
      <w:r w:rsidRPr="00737284">
        <w:rPr>
          <w:sz w:val="22"/>
          <w:szCs w:val="22"/>
        </w:rPr>
        <w:t>protocols</w:t>
      </w:r>
      <w:r w:rsidR="00BD0AD3" w:rsidRPr="00737284">
        <w:rPr>
          <w:sz w:val="22"/>
          <w:szCs w:val="22"/>
        </w:rPr>
        <w:t xml:space="preserve"> </w:t>
      </w:r>
      <w:r w:rsidRPr="00737284">
        <w:rPr>
          <w:sz w:val="22"/>
          <w:szCs w:val="22"/>
        </w:rPr>
        <w:t xml:space="preserve">(ordered along x-axis by ‘effort level’) </w:t>
      </w:r>
      <w:r w:rsidR="00BD0AD3" w:rsidRPr="00737284">
        <w:rPr>
          <w:sz w:val="22"/>
          <w:szCs w:val="22"/>
        </w:rPr>
        <w:t>and the probability of detecting a population decline for three declining populations</w:t>
      </w:r>
      <w:r w:rsidRPr="00737284">
        <w:rPr>
          <w:sz w:val="22"/>
          <w:szCs w:val="22"/>
        </w:rPr>
        <w:t>.</w:t>
      </w:r>
      <w:r w:rsidR="00BD0AD3" w:rsidRPr="00737284">
        <w:rPr>
          <w:sz w:val="22"/>
          <w:szCs w:val="22"/>
        </w:rPr>
        <w:t xml:space="preserve"> </w:t>
      </w:r>
      <w:r w:rsidR="00737284">
        <w:rPr>
          <w:sz w:val="22"/>
          <w:szCs w:val="22"/>
        </w:rPr>
        <w:t xml:space="preserve">This analysis basically shows the relative ‘bang for the buck’ of each monitoring scenario. </w:t>
      </w:r>
      <w:r w:rsidR="00BD0AD3" w:rsidRPr="00737284">
        <w:rPr>
          <w:sz w:val="22"/>
          <w:szCs w:val="22"/>
        </w:rPr>
        <w:t xml:space="preserve">For example, the highest effort </w:t>
      </w:r>
      <w:r w:rsidRPr="00737284">
        <w:rPr>
          <w:sz w:val="22"/>
          <w:szCs w:val="22"/>
        </w:rPr>
        <w:t xml:space="preserve">level (far right) </w:t>
      </w:r>
      <w:r w:rsidR="00BD0AD3" w:rsidRPr="00737284">
        <w:rPr>
          <w:sz w:val="22"/>
          <w:szCs w:val="22"/>
        </w:rPr>
        <w:t xml:space="preserve">would likely involve quadrat-based classification counts, sightability surveys every </w:t>
      </w:r>
      <w:r w:rsidRPr="00737284">
        <w:rPr>
          <w:sz w:val="22"/>
          <w:szCs w:val="22"/>
        </w:rPr>
        <w:t xml:space="preserve">collecting estimates of </w:t>
      </w:r>
      <w:r w:rsidR="00BD0AD3" w:rsidRPr="00737284">
        <w:rPr>
          <w:sz w:val="22"/>
          <w:szCs w:val="22"/>
        </w:rPr>
        <w:t xml:space="preserve">survival </w:t>
      </w:r>
      <w:r w:rsidRPr="00737284">
        <w:rPr>
          <w:sz w:val="22"/>
          <w:szCs w:val="22"/>
        </w:rPr>
        <w:t>every 3 years</w:t>
      </w:r>
      <w:r w:rsidR="00BD0AD3" w:rsidRPr="00737284">
        <w:rPr>
          <w:sz w:val="22"/>
          <w:szCs w:val="22"/>
        </w:rPr>
        <w:t xml:space="preserve">. The </w:t>
      </w:r>
      <w:r w:rsidR="00737284">
        <w:rPr>
          <w:sz w:val="22"/>
          <w:szCs w:val="22"/>
        </w:rPr>
        <w:t xml:space="preserve">x-axis variable ‘Scenario Number’ should be directly related to cost and the </w:t>
      </w:r>
      <w:r w:rsidR="00BD0AD3" w:rsidRPr="00737284">
        <w:rPr>
          <w:sz w:val="22"/>
          <w:szCs w:val="22"/>
        </w:rPr>
        <w:t xml:space="preserve">y-axis variable ‘Probability of detecting a population decline’ is roughly equivalent to an estimate of model ‘precision’ (i.e., mean square error).   </w:t>
      </w:r>
    </w:p>
    <w:p w:rsidR="00737284" w:rsidRPr="00737284" w:rsidRDefault="00737284" w:rsidP="00737284">
      <w:pPr>
        <w:spacing w:after="200" w:line="276" w:lineRule="auto"/>
      </w:pPr>
    </w:p>
    <w:sectPr w:rsidR="00737284" w:rsidRPr="00737284" w:rsidSect="007851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49" w:rsidRDefault="00863349" w:rsidP="00EA7CF9">
      <w:r>
        <w:separator/>
      </w:r>
    </w:p>
  </w:endnote>
  <w:endnote w:type="continuationSeparator" w:id="0">
    <w:p w:rsidR="00863349" w:rsidRDefault="00863349" w:rsidP="00EA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Vivald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86184"/>
      <w:docPartObj>
        <w:docPartGallery w:val="Page Numbers (Bottom of Page)"/>
        <w:docPartUnique/>
      </w:docPartObj>
    </w:sdtPr>
    <w:sdtEndPr>
      <w:rPr>
        <w:noProof/>
      </w:rPr>
    </w:sdtEndPr>
    <w:sdtContent>
      <w:p w:rsidR="00EA7CF9" w:rsidRDefault="00EA7CF9">
        <w:pPr>
          <w:pStyle w:val="Footer"/>
          <w:jc w:val="right"/>
        </w:pPr>
        <w:r>
          <w:fldChar w:fldCharType="begin"/>
        </w:r>
        <w:r>
          <w:instrText xml:space="preserve"> PAGE   \* MERGEFORMAT </w:instrText>
        </w:r>
        <w:r>
          <w:fldChar w:fldCharType="separate"/>
        </w:r>
        <w:r w:rsidR="00E07EF0">
          <w:rPr>
            <w:noProof/>
          </w:rPr>
          <w:t>2</w:t>
        </w:r>
        <w:r>
          <w:rPr>
            <w:noProof/>
          </w:rPr>
          <w:fldChar w:fldCharType="end"/>
        </w:r>
      </w:p>
    </w:sdtContent>
  </w:sdt>
  <w:p w:rsidR="00EA7CF9" w:rsidRDefault="00EA7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49" w:rsidRDefault="00863349" w:rsidP="00EA7CF9">
      <w:r>
        <w:separator/>
      </w:r>
    </w:p>
  </w:footnote>
  <w:footnote w:type="continuationSeparator" w:id="0">
    <w:p w:rsidR="00863349" w:rsidRDefault="00863349" w:rsidP="00EA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F9" w:rsidRPr="00EA7CF9" w:rsidRDefault="00EA7CF9" w:rsidP="00EA7CF9">
    <w:pPr>
      <w:widowControl w:val="0"/>
      <w:jc w:val="center"/>
      <w:rPr>
        <w:color w:val="808080"/>
        <w:sz w:val="20"/>
        <w:szCs w:val="20"/>
      </w:rPr>
    </w:pPr>
    <w:r w:rsidRPr="00EA7CF9">
      <w:rPr>
        <w:color w:val="808080"/>
        <w:sz w:val="20"/>
        <w:szCs w:val="20"/>
      </w:rPr>
      <w:t>Annual Report — WGFD — Ungulate Population Monitoring</w:t>
    </w:r>
    <w:r w:rsidRPr="00EA7CF9">
      <w:rPr>
        <w:sz w:val="20"/>
        <w:szCs w:val="20"/>
      </w:rPr>
      <w:t> </w:t>
    </w:r>
  </w:p>
  <w:p w:rsidR="00EA7CF9" w:rsidRDefault="00EA7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7567"/>
    <w:multiLevelType w:val="hybridMultilevel"/>
    <w:tmpl w:val="77EAD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6428C0"/>
    <w:multiLevelType w:val="hybridMultilevel"/>
    <w:tmpl w:val="0D4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91F55"/>
    <w:multiLevelType w:val="hybridMultilevel"/>
    <w:tmpl w:val="08EE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A8"/>
    <w:rsid w:val="00003AAB"/>
    <w:rsid w:val="00017918"/>
    <w:rsid w:val="000440DB"/>
    <w:rsid w:val="00124475"/>
    <w:rsid w:val="002019DA"/>
    <w:rsid w:val="003019B6"/>
    <w:rsid w:val="0036158D"/>
    <w:rsid w:val="003A5AAC"/>
    <w:rsid w:val="0044695D"/>
    <w:rsid w:val="004C09A8"/>
    <w:rsid w:val="004D7564"/>
    <w:rsid w:val="0051238F"/>
    <w:rsid w:val="0058028F"/>
    <w:rsid w:val="0064557A"/>
    <w:rsid w:val="006924C4"/>
    <w:rsid w:val="006D7AC1"/>
    <w:rsid w:val="00737284"/>
    <w:rsid w:val="0075160B"/>
    <w:rsid w:val="007851DA"/>
    <w:rsid w:val="00856B91"/>
    <w:rsid w:val="00863349"/>
    <w:rsid w:val="008D1D47"/>
    <w:rsid w:val="008E4B42"/>
    <w:rsid w:val="00901F32"/>
    <w:rsid w:val="0094326F"/>
    <w:rsid w:val="009C1428"/>
    <w:rsid w:val="00A35E96"/>
    <w:rsid w:val="00AE486C"/>
    <w:rsid w:val="00AE6732"/>
    <w:rsid w:val="00AF6EED"/>
    <w:rsid w:val="00B10E3C"/>
    <w:rsid w:val="00B763E4"/>
    <w:rsid w:val="00BA6E9F"/>
    <w:rsid w:val="00BB009B"/>
    <w:rsid w:val="00BD0AD3"/>
    <w:rsid w:val="00BD1385"/>
    <w:rsid w:val="00D77859"/>
    <w:rsid w:val="00DF1469"/>
    <w:rsid w:val="00E07EF0"/>
    <w:rsid w:val="00E156A6"/>
    <w:rsid w:val="00EA7CF9"/>
    <w:rsid w:val="00EE0E9A"/>
    <w:rsid w:val="00F65046"/>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09A8"/>
    <w:pPr>
      <w:jc w:val="center"/>
    </w:pPr>
    <w:rPr>
      <w:rFonts w:ascii="Brush Script" w:hAnsi="Brush Script"/>
      <w:sz w:val="40"/>
      <w:szCs w:val="20"/>
    </w:rPr>
  </w:style>
  <w:style w:type="paragraph" w:styleId="BalloonText">
    <w:name w:val="Balloon Text"/>
    <w:basedOn w:val="Normal"/>
    <w:semiHidden/>
    <w:rsid w:val="006D7AC1"/>
    <w:rPr>
      <w:rFonts w:ascii="Tahoma" w:hAnsi="Tahoma" w:cs="Tahoma"/>
      <w:sz w:val="16"/>
      <w:szCs w:val="16"/>
    </w:rPr>
  </w:style>
  <w:style w:type="character" w:styleId="Hyperlink">
    <w:name w:val="Hyperlink"/>
    <w:basedOn w:val="DefaultParagraphFont"/>
    <w:rsid w:val="0064557A"/>
    <w:rPr>
      <w:color w:val="0000FF"/>
      <w:u w:val="single"/>
    </w:rPr>
  </w:style>
  <w:style w:type="paragraph" w:styleId="ListParagraph">
    <w:name w:val="List Paragraph"/>
    <w:basedOn w:val="Normal"/>
    <w:uiPriority w:val="34"/>
    <w:qFormat/>
    <w:rsid w:val="008E4B42"/>
    <w:pPr>
      <w:ind w:left="720"/>
      <w:contextualSpacing/>
    </w:pPr>
  </w:style>
  <w:style w:type="paragraph" w:styleId="BodyText">
    <w:name w:val="Body Text"/>
    <w:link w:val="BodyTextChar"/>
    <w:uiPriority w:val="99"/>
    <w:semiHidden/>
    <w:unhideWhenUsed/>
    <w:rsid w:val="007851DA"/>
    <w:pPr>
      <w:spacing w:after="120" w:line="264" w:lineRule="auto"/>
    </w:pPr>
    <w:rPr>
      <w:rFonts w:ascii="Calibri" w:hAnsi="Calibri" w:cs="Calibri"/>
      <w:color w:val="000000"/>
      <w:kern w:val="28"/>
      <w14:ligatures w14:val="standard"/>
      <w14:cntxtAlts/>
    </w:rPr>
  </w:style>
  <w:style w:type="character" w:customStyle="1" w:styleId="BodyTextChar">
    <w:name w:val="Body Text Char"/>
    <w:basedOn w:val="DefaultParagraphFont"/>
    <w:link w:val="BodyText"/>
    <w:uiPriority w:val="99"/>
    <w:semiHidden/>
    <w:rsid w:val="007851DA"/>
    <w:rPr>
      <w:rFonts w:ascii="Calibri" w:hAnsi="Calibri" w:cs="Calibri"/>
      <w:color w:val="000000"/>
      <w:kern w:val="28"/>
      <w14:ligatures w14:val="standard"/>
      <w14:cntxtAlts/>
    </w:rPr>
  </w:style>
  <w:style w:type="paragraph" w:styleId="Header">
    <w:name w:val="header"/>
    <w:basedOn w:val="Normal"/>
    <w:link w:val="HeaderChar"/>
    <w:uiPriority w:val="99"/>
    <w:unhideWhenUsed/>
    <w:rsid w:val="00EA7CF9"/>
    <w:pPr>
      <w:tabs>
        <w:tab w:val="center" w:pos="4680"/>
        <w:tab w:val="right" w:pos="9360"/>
      </w:tabs>
    </w:pPr>
  </w:style>
  <w:style w:type="character" w:customStyle="1" w:styleId="HeaderChar">
    <w:name w:val="Header Char"/>
    <w:basedOn w:val="DefaultParagraphFont"/>
    <w:link w:val="Header"/>
    <w:uiPriority w:val="99"/>
    <w:rsid w:val="00EA7CF9"/>
    <w:rPr>
      <w:sz w:val="24"/>
      <w:szCs w:val="24"/>
    </w:rPr>
  </w:style>
  <w:style w:type="paragraph" w:styleId="Footer">
    <w:name w:val="footer"/>
    <w:basedOn w:val="Normal"/>
    <w:link w:val="FooterChar"/>
    <w:uiPriority w:val="99"/>
    <w:unhideWhenUsed/>
    <w:rsid w:val="00EA7CF9"/>
    <w:pPr>
      <w:tabs>
        <w:tab w:val="center" w:pos="4680"/>
        <w:tab w:val="right" w:pos="9360"/>
      </w:tabs>
    </w:pPr>
  </w:style>
  <w:style w:type="character" w:customStyle="1" w:styleId="FooterChar">
    <w:name w:val="Footer Char"/>
    <w:basedOn w:val="DefaultParagraphFont"/>
    <w:link w:val="Footer"/>
    <w:uiPriority w:val="99"/>
    <w:rsid w:val="00EA7C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09A8"/>
    <w:pPr>
      <w:jc w:val="center"/>
    </w:pPr>
    <w:rPr>
      <w:rFonts w:ascii="Brush Script" w:hAnsi="Brush Script"/>
      <w:sz w:val="40"/>
      <w:szCs w:val="20"/>
    </w:rPr>
  </w:style>
  <w:style w:type="paragraph" w:styleId="BalloonText">
    <w:name w:val="Balloon Text"/>
    <w:basedOn w:val="Normal"/>
    <w:semiHidden/>
    <w:rsid w:val="006D7AC1"/>
    <w:rPr>
      <w:rFonts w:ascii="Tahoma" w:hAnsi="Tahoma" w:cs="Tahoma"/>
      <w:sz w:val="16"/>
      <w:szCs w:val="16"/>
    </w:rPr>
  </w:style>
  <w:style w:type="character" w:styleId="Hyperlink">
    <w:name w:val="Hyperlink"/>
    <w:basedOn w:val="DefaultParagraphFont"/>
    <w:rsid w:val="0064557A"/>
    <w:rPr>
      <w:color w:val="0000FF"/>
      <w:u w:val="single"/>
    </w:rPr>
  </w:style>
  <w:style w:type="paragraph" w:styleId="ListParagraph">
    <w:name w:val="List Paragraph"/>
    <w:basedOn w:val="Normal"/>
    <w:uiPriority w:val="34"/>
    <w:qFormat/>
    <w:rsid w:val="008E4B42"/>
    <w:pPr>
      <w:ind w:left="720"/>
      <w:contextualSpacing/>
    </w:pPr>
  </w:style>
  <w:style w:type="paragraph" w:styleId="BodyText">
    <w:name w:val="Body Text"/>
    <w:link w:val="BodyTextChar"/>
    <w:uiPriority w:val="99"/>
    <w:semiHidden/>
    <w:unhideWhenUsed/>
    <w:rsid w:val="007851DA"/>
    <w:pPr>
      <w:spacing w:after="120" w:line="264" w:lineRule="auto"/>
    </w:pPr>
    <w:rPr>
      <w:rFonts w:ascii="Calibri" w:hAnsi="Calibri" w:cs="Calibri"/>
      <w:color w:val="000000"/>
      <w:kern w:val="28"/>
      <w14:ligatures w14:val="standard"/>
      <w14:cntxtAlts/>
    </w:rPr>
  </w:style>
  <w:style w:type="character" w:customStyle="1" w:styleId="BodyTextChar">
    <w:name w:val="Body Text Char"/>
    <w:basedOn w:val="DefaultParagraphFont"/>
    <w:link w:val="BodyText"/>
    <w:uiPriority w:val="99"/>
    <w:semiHidden/>
    <w:rsid w:val="007851DA"/>
    <w:rPr>
      <w:rFonts w:ascii="Calibri" w:hAnsi="Calibri" w:cs="Calibri"/>
      <w:color w:val="000000"/>
      <w:kern w:val="28"/>
      <w14:ligatures w14:val="standard"/>
      <w14:cntxtAlts/>
    </w:rPr>
  </w:style>
  <w:style w:type="paragraph" w:styleId="Header">
    <w:name w:val="header"/>
    <w:basedOn w:val="Normal"/>
    <w:link w:val="HeaderChar"/>
    <w:uiPriority w:val="99"/>
    <w:unhideWhenUsed/>
    <w:rsid w:val="00EA7CF9"/>
    <w:pPr>
      <w:tabs>
        <w:tab w:val="center" w:pos="4680"/>
        <w:tab w:val="right" w:pos="9360"/>
      </w:tabs>
    </w:pPr>
  </w:style>
  <w:style w:type="character" w:customStyle="1" w:styleId="HeaderChar">
    <w:name w:val="Header Char"/>
    <w:basedOn w:val="DefaultParagraphFont"/>
    <w:link w:val="Header"/>
    <w:uiPriority w:val="99"/>
    <w:rsid w:val="00EA7CF9"/>
    <w:rPr>
      <w:sz w:val="24"/>
      <w:szCs w:val="24"/>
    </w:rPr>
  </w:style>
  <w:style w:type="paragraph" w:styleId="Footer">
    <w:name w:val="footer"/>
    <w:basedOn w:val="Normal"/>
    <w:link w:val="FooterChar"/>
    <w:uiPriority w:val="99"/>
    <w:unhideWhenUsed/>
    <w:rsid w:val="00EA7CF9"/>
    <w:pPr>
      <w:tabs>
        <w:tab w:val="center" w:pos="4680"/>
        <w:tab w:val="right" w:pos="9360"/>
      </w:tabs>
    </w:pPr>
  </w:style>
  <w:style w:type="character" w:customStyle="1" w:styleId="FooterChar">
    <w:name w:val="Footer Char"/>
    <w:basedOn w:val="DefaultParagraphFont"/>
    <w:link w:val="Footer"/>
    <w:uiPriority w:val="99"/>
    <w:rsid w:val="00EA7C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4839">
      <w:bodyDiv w:val="1"/>
      <w:marLeft w:val="0"/>
      <w:marRight w:val="0"/>
      <w:marTop w:val="0"/>
      <w:marBottom w:val="0"/>
      <w:divBdr>
        <w:top w:val="none" w:sz="0" w:space="0" w:color="auto"/>
        <w:left w:val="none" w:sz="0" w:space="0" w:color="auto"/>
        <w:bottom w:val="none" w:sz="0" w:space="0" w:color="auto"/>
        <w:right w:val="none" w:sz="0" w:space="0" w:color="auto"/>
      </w:divBdr>
    </w:div>
    <w:div w:id="1626960651">
      <w:bodyDiv w:val="1"/>
      <w:marLeft w:val="0"/>
      <w:marRight w:val="0"/>
      <w:marTop w:val="0"/>
      <w:marBottom w:val="0"/>
      <w:divBdr>
        <w:top w:val="none" w:sz="0" w:space="0" w:color="auto"/>
        <w:left w:val="none" w:sz="0" w:space="0" w:color="auto"/>
        <w:bottom w:val="none" w:sz="0" w:space="0" w:color="auto"/>
        <w:right w:val="none" w:sz="0" w:space="0" w:color="auto"/>
      </w:divBdr>
    </w:div>
    <w:div w:id="1773933592">
      <w:bodyDiv w:val="1"/>
      <w:marLeft w:val="0"/>
      <w:marRight w:val="0"/>
      <w:marTop w:val="0"/>
      <w:marBottom w:val="0"/>
      <w:divBdr>
        <w:top w:val="none" w:sz="0" w:space="0" w:color="auto"/>
        <w:left w:val="none" w:sz="0" w:space="0" w:color="auto"/>
        <w:bottom w:val="none" w:sz="0" w:space="0" w:color="auto"/>
        <w:right w:val="none" w:sz="0" w:space="0" w:color="auto"/>
      </w:divBdr>
    </w:div>
    <w:div w:id="17817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Wyoming Cooperative Fish and Wildlife Research Unit</vt:lpstr>
    </vt:vector>
  </TitlesOfParts>
  <Company>University of Wyoming</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Cooperative Fish and Wildlife Research Unit</dc:title>
  <dc:creator>UW Information Technology</dc:creator>
  <cp:lastModifiedBy>Mandi Larson</cp:lastModifiedBy>
  <cp:revision>2</cp:revision>
  <cp:lastPrinted>2008-10-29T18:53:00Z</cp:lastPrinted>
  <dcterms:created xsi:type="dcterms:W3CDTF">2011-08-30T19:33:00Z</dcterms:created>
  <dcterms:modified xsi:type="dcterms:W3CDTF">2011-08-30T19:33:00Z</dcterms:modified>
</cp:coreProperties>
</file>